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8D4F8" w14:textId="77777777" w:rsidR="000D4EE7" w:rsidRDefault="000D4EE7" w:rsidP="008F6EB8">
      <w:pPr>
        <w:spacing w:before="100" w:beforeAutospacing="1" w:after="100" w:afterAutospacing="1" w:line="240" w:lineRule="auto"/>
        <w:rPr>
          <w:rFonts w:ascii="Century Gothic" w:eastAsia="Times New Roman" w:hAnsi="Century Gothic" w:cstheme="minorHAnsi"/>
          <w:sz w:val="20"/>
          <w:szCs w:val="20"/>
          <w:lang w:eastAsia="en-GB"/>
        </w:rPr>
      </w:pPr>
    </w:p>
    <w:p w14:paraId="338E9EAA" w14:textId="39E01B01" w:rsidR="008F6EB8" w:rsidRPr="000D4EE7" w:rsidRDefault="008F6EB8" w:rsidP="008F6EB8">
      <w:pPr>
        <w:spacing w:before="100" w:beforeAutospacing="1" w:after="100" w:afterAutospacing="1" w:line="240" w:lineRule="auto"/>
        <w:rPr>
          <w:rFonts w:ascii="Century Gothic" w:eastAsia="Times New Roman" w:hAnsi="Century Gothic" w:cstheme="minorHAnsi"/>
          <w:sz w:val="20"/>
          <w:szCs w:val="20"/>
          <w:lang w:eastAsia="en-GB"/>
        </w:rPr>
      </w:pPr>
      <w:r w:rsidRPr="000D4EE7">
        <w:rPr>
          <w:rFonts w:ascii="Century Gothic" w:eastAsia="Times New Roman" w:hAnsi="Century Gothic" w:cstheme="minorHAnsi"/>
          <w:sz w:val="20"/>
          <w:szCs w:val="20"/>
          <w:lang w:eastAsia="en-GB"/>
        </w:rPr>
        <w:t>At Prestley Wood Academy, our commitment to British values forms the cornerstone of our vibrant and inclusive school community. Democracy, individual liberty, the rule of law, mutual respect, and tolerance aren’t just taught here—they thrive as part of our everyday ethos, helping our pupils flourish into empowered, compassionate citizens ready to embrace the world beyond school.</w:t>
      </w:r>
    </w:p>
    <w:p w14:paraId="0169A033" w14:textId="0B8FE53D" w:rsidR="008F6EB8" w:rsidRPr="000D4EE7" w:rsidRDefault="008F6EB8" w:rsidP="008F6EB8">
      <w:pPr>
        <w:spacing w:before="100" w:beforeAutospacing="1" w:after="100" w:afterAutospacing="1" w:line="240" w:lineRule="auto"/>
        <w:rPr>
          <w:rFonts w:ascii="Century Gothic" w:eastAsia="Times New Roman" w:hAnsi="Century Gothic" w:cstheme="minorHAnsi"/>
          <w:lang w:eastAsia="en-GB"/>
        </w:rPr>
      </w:pPr>
      <w:r w:rsidRPr="000D4EE7">
        <w:rPr>
          <w:rFonts w:ascii="Century Gothic" w:eastAsia="Times New Roman" w:hAnsi="Century Gothic" w:cstheme="minorHAnsi"/>
          <w:b/>
          <w:bCs/>
          <w:color w:val="538135" w:themeColor="accent6" w:themeShade="BF"/>
          <w:sz w:val="24"/>
          <w:szCs w:val="24"/>
          <w:lang w:eastAsia="en-GB"/>
        </w:rPr>
        <w:t>Pupils at the Heart of Our Mission</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 xml:space="preserve">Everything we do revolves around our pupils. Through our rich and diverse </w:t>
      </w:r>
      <w:r w:rsidRPr="000D4EE7">
        <w:rPr>
          <w:rFonts w:ascii="Century Gothic" w:eastAsia="Times New Roman" w:hAnsi="Century Gothic" w:cstheme="minorHAnsi"/>
          <w:i/>
          <w:iCs/>
          <w:sz w:val="20"/>
          <w:szCs w:val="20"/>
          <w:lang w:eastAsia="en-GB"/>
        </w:rPr>
        <w:t>Myself Curriculum</w:t>
      </w:r>
      <w:r w:rsidRPr="000D4EE7">
        <w:rPr>
          <w:rFonts w:ascii="Century Gothic" w:eastAsia="Times New Roman" w:hAnsi="Century Gothic" w:cstheme="minorHAnsi"/>
          <w:sz w:val="20"/>
          <w:szCs w:val="20"/>
          <w:lang w:eastAsia="en-GB"/>
        </w:rPr>
        <w:t xml:space="preserve">—spanning personal development, health and wellbeing, RSE, personal safety, and more—we equip </w:t>
      </w:r>
      <w:r w:rsidR="0080112D" w:rsidRPr="000D4EE7">
        <w:rPr>
          <w:rFonts w:ascii="Century Gothic" w:eastAsia="Times New Roman" w:hAnsi="Century Gothic" w:cstheme="minorHAnsi"/>
          <w:sz w:val="20"/>
          <w:szCs w:val="20"/>
          <w:lang w:eastAsia="en-GB"/>
        </w:rPr>
        <w:t>our learners</w:t>
      </w:r>
      <w:r w:rsidRPr="000D4EE7">
        <w:rPr>
          <w:rFonts w:ascii="Century Gothic" w:eastAsia="Times New Roman" w:hAnsi="Century Gothic" w:cstheme="minorHAnsi"/>
          <w:sz w:val="20"/>
          <w:szCs w:val="20"/>
          <w:lang w:eastAsia="en-GB"/>
        </w:rPr>
        <w:t xml:space="preserve"> with the knowledge and skills to take charge of their rights and responsibilities. This holistic approach nurtures independence, ensures every student finds their voice, and prepares them for the journey ahead in life.</w:t>
      </w:r>
    </w:p>
    <w:p w14:paraId="4C338018" w14:textId="177EB46C" w:rsidR="008F6EB8" w:rsidRPr="000D4EE7" w:rsidRDefault="008F6EB8" w:rsidP="008F6EB8">
      <w:pPr>
        <w:spacing w:before="100" w:beforeAutospacing="1" w:after="100" w:afterAutospacing="1" w:line="240" w:lineRule="auto"/>
        <w:rPr>
          <w:rFonts w:ascii="Century Gothic" w:eastAsia="Times New Roman" w:hAnsi="Century Gothic" w:cstheme="minorHAnsi"/>
          <w:lang w:eastAsia="en-GB"/>
        </w:rPr>
      </w:pPr>
      <w:r w:rsidRPr="000D4EE7">
        <w:rPr>
          <w:rFonts w:ascii="Century Gothic" w:eastAsia="Times New Roman" w:hAnsi="Century Gothic" w:cstheme="minorHAnsi"/>
          <w:b/>
          <w:bCs/>
          <w:color w:val="538135" w:themeColor="accent6" w:themeShade="BF"/>
          <w:sz w:val="24"/>
          <w:szCs w:val="24"/>
          <w:lang w:eastAsia="en-GB"/>
        </w:rPr>
        <w:t>Democracy in Action</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 xml:space="preserve">Democracy at Prestley Wood Academy isn’t just a concept; it’s a lived experience. Pupils are actively involved in shaping their school life through platforms like the school council, Makaton champions, and eco-school advocates. Whether it’s participating in pupil voice surveys, buddying up to support peers, or helping make impactful decisions, our </w:t>
      </w:r>
      <w:r w:rsidR="0080112D" w:rsidRPr="000D4EE7">
        <w:rPr>
          <w:rFonts w:ascii="Century Gothic" w:eastAsia="Times New Roman" w:hAnsi="Century Gothic" w:cstheme="minorHAnsi"/>
          <w:sz w:val="20"/>
          <w:szCs w:val="20"/>
          <w:lang w:eastAsia="en-GB"/>
        </w:rPr>
        <w:t xml:space="preserve">learners </w:t>
      </w:r>
      <w:r w:rsidRPr="000D4EE7">
        <w:rPr>
          <w:rFonts w:ascii="Century Gothic" w:eastAsia="Times New Roman" w:hAnsi="Century Gothic" w:cstheme="minorHAnsi"/>
          <w:sz w:val="20"/>
          <w:szCs w:val="20"/>
          <w:lang w:eastAsia="en-GB"/>
        </w:rPr>
        <w:t>don’t just learn about democracy—they live it.</w:t>
      </w:r>
    </w:p>
    <w:p w14:paraId="6EC60211" w14:textId="77777777" w:rsidR="008F6EB8" w:rsidRPr="000D4EE7" w:rsidRDefault="008F6EB8" w:rsidP="008F6EB8">
      <w:pPr>
        <w:spacing w:before="100" w:beforeAutospacing="1" w:after="100" w:afterAutospacing="1" w:line="240" w:lineRule="auto"/>
        <w:rPr>
          <w:rFonts w:ascii="Century Gothic" w:eastAsia="Times New Roman" w:hAnsi="Century Gothic" w:cstheme="minorHAnsi"/>
          <w:lang w:eastAsia="en-GB"/>
        </w:rPr>
      </w:pPr>
      <w:r w:rsidRPr="000D4EE7">
        <w:rPr>
          <w:rFonts w:ascii="Century Gothic" w:eastAsia="Times New Roman" w:hAnsi="Century Gothic" w:cstheme="minorHAnsi"/>
          <w:b/>
          <w:bCs/>
          <w:color w:val="538135" w:themeColor="accent6" w:themeShade="BF"/>
          <w:sz w:val="24"/>
          <w:szCs w:val="24"/>
          <w:lang w:eastAsia="en-GB"/>
        </w:rPr>
        <w:t>Liberty to Thrive</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We create a safe, empowering environment where every child is free to explore, take risks, and discover their unique voice. Through our Total Communication approach—including symbols, objects of reference, Makaton, and AAC devices—every student is celebrated, heard, and supported to express their individuality with confidence.</w:t>
      </w:r>
    </w:p>
    <w:p w14:paraId="3D4A3A51" w14:textId="77777777" w:rsidR="008F6EB8" w:rsidRPr="000D4EE7" w:rsidRDefault="008F6EB8" w:rsidP="008F6EB8">
      <w:pPr>
        <w:spacing w:before="100" w:beforeAutospacing="1" w:after="100" w:afterAutospacing="1" w:line="240" w:lineRule="auto"/>
        <w:rPr>
          <w:rFonts w:ascii="Century Gothic" w:eastAsia="Times New Roman" w:hAnsi="Century Gothic" w:cstheme="minorHAnsi"/>
          <w:lang w:eastAsia="en-GB"/>
        </w:rPr>
      </w:pPr>
      <w:r w:rsidRPr="000D4EE7">
        <w:rPr>
          <w:rFonts w:ascii="Century Gothic" w:eastAsia="Times New Roman" w:hAnsi="Century Gothic" w:cstheme="minorHAnsi"/>
          <w:b/>
          <w:bCs/>
          <w:color w:val="538135" w:themeColor="accent6" w:themeShade="BF"/>
          <w:sz w:val="24"/>
          <w:szCs w:val="24"/>
          <w:lang w:eastAsia="en-GB"/>
        </w:rPr>
        <w:t>The Rule of Law: Foundations of Fairness</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Clear school rules, therapeutic routines, and a restorative approach to positive behaviour foster an understanding of the rule of law. Pupils learn the value of fairness and responsibility, not as abstract principles but as tools for building trust and harmony in their community.</w:t>
      </w:r>
    </w:p>
    <w:p w14:paraId="63ABFDE1" w14:textId="1FAE7713" w:rsidR="008F6EB8" w:rsidRPr="000D4EE7" w:rsidRDefault="008F6EB8" w:rsidP="008F6EB8">
      <w:pPr>
        <w:spacing w:before="100" w:beforeAutospacing="1" w:after="100" w:afterAutospacing="1" w:line="240" w:lineRule="auto"/>
        <w:rPr>
          <w:rFonts w:ascii="Century Gothic" w:eastAsia="Times New Roman" w:hAnsi="Century Gothic" w:cstheme="minorHAnsi"/>
          <w:lang w:eastAsia="en-GB"/>
        </w:rPr>
      </w:pPr>
      <w:r w:rsidRPr="000D4EE7">
        <w:rPr>
          <w:rFonts w:ascii="Century Gothic" w:eastAsia="Times New Roman" w:hAnsi="Century Gothic" w:cstheme="minorHAnsi"/>
          <w:b/>
          <w:bCs/>
          <w:color w:val="538135" w:themeColor="accent6" w:themeShade="BF"/>
          <w:sz w:val="24"/>
          <w:szCs w:val="24"/>
          <w:lang w:eastAsia="en-GB"/>
        </w:rPr>
        <w:t>Mutual Respect and Embracing Diversity</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 xml:space="preserve">Respect and tolerance weave through the fabric of school life at Prestley Wood Academy. Celebrating diversity isn’t just an event here; it’s an everyday practice, from dynamic assemblies and cultural festivals to </w:t>
      </w:r>
      <w:r w:rsidR="00D23680" w:rsidRPr="000D4EE7">
        <w:rPr>
          <w:rFonts w:ascii="Century Gothic" w:eastAsia="Times New Roman" w:hAnsi="Century Gothic" w:cstheme="minorHAnsi"/>
          <w:sz w:val="20"/>
          <w:szCs w:val="20"/>
          <w:lang w:eastAsia="en-GB"/>
        </w:rPr>
        <w:t xml:space="preserve">supportive peer mentoring and buddy </w:t>
      </w:r>
      <w:r w:rsidR="005C68A8" w:rsidRPr="000D4EE7">
        <w:rPr>
          <w:rFonts w:ascii="Century Gothic" w:eastAsia="Times New Roman" w:hAnsi="Century Gothic" w:cstheme="minorHAnsi"/>
          <w:sz w:val="20"/>
          <w:szCs w:val="20"/>
          <w:lang w:eastAsia="en-GB"/>
        </w:rPr>
        <w:t xml:space="preserve">programmes to </w:t>
      </w:r>
      <w:r w:rsidRPr="000D4EE7">
        <w:rPr>
          <w:rFonts w:ascii="Century Gothic" w:eastAsia="Times New Roman" w:hAnsi="Century Gothic" w:cstheme="minorHAnsi"/>
          <w:sz w:val="20"/>
          <w:szCs w:val="20"/>
          <w:lang w:eastAsia="en-GB"/>
        </w:rPr>
        <w:t xml:space="preserve">family open </w:t>
      </w:r>
      <w:r w:rsidR="005C68A8" w:rsidRPr="000D4EE7">
        <w:rPr>
          <w:rFonts w:ascii="Century Gothic" w:eastAsia="Times New Roman" w:hAnsi="Century Gothic" w:cstheme="minorHAnsi"/>
          <w:sz w:val="20"/>
          <w:szCs w:val="20"/>
          <w:lang w:eastAsia="en-GB"/>
        </w:rPr>
        <w:t xml:space="preserve">class </w:t>
      </w:r>
      <w:r w:rsidRPr="000D4EE7">
        <w:rPr>
          <w:rFonts w:ascii="Century Gothic" w:eastAsia="Times New Roman" w:hAnsi="Century Gothic" w:cstheme="minorHAnsi"/>
          <w:sz w:val="20"/>
          <w:szCs w:val="20"/>
          <w:lang w:eastAsia="en-GB"/>
        </w:rPr>
        <w:t>sessions that bring everyone together. Our pupils learn the power of respecting others by experiencing respect in action.</w:t>
      </w:r>
    </w:p>
    <w:p w14:paraId="58379361" w14:textId="673AFF26" w:rsidR="008F6EB8" w:rsidRPr="000D4EE7" w:rsidRDefault="008F6EB8" w:rsidP="008F6EB8">
      <w:pPr>
        <w:spacing w:before="100" w:beforeAutospacing="1" w:after="100" w:afterAutospacing="1" w:line="240" w:lineRule="auto"/>
        <w:rPr>
          <w:rFonts w:ascii="Century Gothic" w:eastAsia="Times New Roman" w:hAnsi="Century Gothic" w:cstheme="minorHAnsi"/>
          <w:sz w:val="20"/>
          <w:szCs w:val="20"/>
          <w:lang w:eastAsia="en-GB"/>
        </w:rPr>
      </w:pPr>
      <w:r w:rsidRPr="000D4EE7">
        <w:rPr>
          <w:rFonts w:ascii="Century Gothic" w:eastAsia="Times New Roman" w:hAnsi="Century Gothic" w:cstheme="minorHAnsi"/>
          <w:b/>
          <w:bCs/>
          <w:color w:val="538135" w:themeColor="accent6" w:themeShade="BF"/>
          <w:sz w:val="24"/>
          <w:szCs w:val="24"/>
          <w:lang w:eastAsia="en-GB"/>
        </w:rPr>
        <w:t>Preparing for Lifelong Success</w:t>
      </w:r>
      <w:r w:rsidRPr="000D4EE7">
        <w:rPr>
          <w:rFonts w:ascii="Century Gothic" w:eastAsia="Times New Roman" w:hAnsi="Century Gothic" w:cstheme="minorHAnsi"/>
          <w:lang w:eastAsia="en-GB"/>
        </w:rPr>
        <w:br/>
      </w:r>
      <w:r w:rsidRPr="000D4EE7">
        <w:rPr>
          <w:rFonts w:ascii="Century Gothic" w:eastAsia="Times New Roman" w:hAnsi="Century Gothic" w:cstheme="minorHAnsi"/>
          <w:sz w:val="20"/>
          <w:szCs w:val="20"/>
          <w:lang w:eastAsia="en-GB"/>
        </w:rPr>
        <w:t>Achievement and independence are the beacons guiding our work. By nurturing the whole child, we empower pupils to take bold strides into adulthood, confident in their abilities and celebrated for their successes—no matter how big or small.</w:t>
      </w:r>
      <w:r w:rsidR="005C68A8" w:rsidRPr="000D4EE7">
        <w:rPr>
          <w:rFonts w:ascii="Century Gothic" w:eastAsia="Times New Roman" w:hAnsi="Century Gothic" w:cstheme="minorHAnsi"/>
          <w:sz w:val="20"/>
          <w:szCs w:val="20"/>
          <w:lang w:eastAsia="en-GB"/>
        </w:rPr>
        <w:t xml:space="preserve"> Learning </w:t>
      </w:r>
      <w:r w:rsidR="006F14F3" w:rsidRPr="000D4EE7">
        <w:rPr>
          <w:rFonts w:ascii="Century Gothic" w:eastAsia="Times New Roman" w:hAnsi="Century Gothic" w:cstheme="minorHAnsi"/>
          <w:sz w:val="20"/>
          <w:szCs w:val="20"/>
          <w:lang w:eastAsia="en-GB"/>
        </w:rPr>
        <w:t xml:space="preserve">within community </w:t>
      </w:r>
      <w:r w:rsidR="006F14F3" w:rsidRPr="000D4EE7">
        <w:rPr>
          <w:rFonts w:ascii="Century Gothic" w:eastAsia="Times New Roman" w:hAnsi="Century Gothic" w:cstheme="minorHAnsi"/>
          <w:sz w:val="20"/>
          <w:szCs w:val="20"/>
          <w:lang w:eastAsia="en-GB"/>
        </w:rPr>
        <w:lastRenderedPageBreak/>
        <w:t xml:space="preserve">contexts through work experience placements, </w:t>
      </w:r>
      <w:r w:rsidR="00021E68" w:rsidRPr="000D4EE7">
        <w:rPr>
          <w:rFonts w:ascii="Century Gothic" w:eastAsia="Times New Roman" w:hAnsi="Century Gothic" w:cstheme="minorHAnsi"/>
          <w:sz w:val="20"/>
          <w:szCs w:val="20"/>
          <w:lang w:eastAsia="en-GB"/>
        </w:rPr>
        <w:t xml:space="preserve">residentials, </w:t>
      </w:r>
      <w:r w:rsidR="006F14F3" w:rsidRPr="000D4EE7">
        <w:rPr>
          <w:rFonts w:ascii="Century Gothic" w:eastAsia="Times New Roman" w:hAnsi="Century Gothic" w:cstheme="minorHAnsi"/>
          <w:sz w:val="20"/>
          <w:szCs w:val="20"/>
          <w:lang w:eastAsia="en-GB"/>
        </w:rPr>
        <w:t xml:space="preserve">community projects or Enterprise </w:t>
      </w:r>
      <w:r w:rsidR="00021E68" w:rsidRPr="000D4EE7">
        <w:rPr>
          <w:rFonts w:ascii="Century Gothic" w:eastAsia="Times New Roman" w:hAnsi="Century Gothic" w:cstheme="minorHAnsi"/>
          <w:sz w:val="20"/>
          <w:szCs w:val="20"/>
          <w:lang w:eastAsia="en-GB"/>
        </w:rPr>
        <w:t>sessions ensures our learners become active participants making meaningful contributions to their own communities.</w:t>
      </w:r>
    </w:p>
    <w:p w14:paraId="671DC6A1" w14:textId="7570D0DE" w:rsidR="008F6EB8" w:rsidRPr="000D4EE7" w:rsidRDefault="008F6EB8" w:rsidP="008F6EB8">
      <w:pPr>
        <w:spacing w:before="100" w:beforeAutospacing="1" w:after="100" w:afterAutospacing="1" w:line="240" w:lineRule="auto"/>
        <w:rPr>
          <w:rFonts w:ascii="Century Gothic" w:eastAsia="Times New Roman" w:hAnsi="Century Gothic" w:cstheme="minorHAnsi"/>
          <w:sz w:val="20"/>
          <w:szCs w:val="20"/>
          <w:lang w:eastAsia="en-GB"/>
        </w:rPr>
      </w:pPr>
      <w:r w:rsidRPr="000D4EE7">
        <w:rPr>
          <w:rFonts w:ascii="Century Gothic" w:eastAsia="Times New Roman" w:hAnsi="Century Gothic" w:cstheme="minorHAnsi"/>
          <w:sz w:val="20"/>
          <w:szCs w:val="20"/>
          <w:lang w:eastAsia="en-GB"/>
        </w:rPr>
        <w:t>At Prestley Wood Academy, we don’t just teach values; we bring them to life, fostering a warm, dynamic, and empowering environment where everyone—</w:t>
      </w:r>
      <w:r w:rsidR="0080112D" w:rsidRPr="000D4EE7">
        <w:rPr>
          <w:rFonts w:ascii="Century Gothic" w:eastAsia="Times New Roman" w:hAnsi="Century Gothic" w:cstheme="minorHAnsi"/>
          <w:sz w:val="20"/>
          <w:szCs w:val="20"/>
          <w:lang w:eastAsia="en-GB"/>
        </w:rPr>
        <w:t>learners</w:t>
      </w:r>
      <w:r w:rsidRPr="000D4EE7">
        <w:rPr>
          <w:rFonts w:ascii="Century Gothic" w:eastAsia="Times New Roman" w:hAnsi="Century Gothic" w:cstheme="minorHAnsi"/>
          <w:sz w:val="20"/>
          <w:szCs w:val="20"/>
          <w:lang w:eastAsia="en-GB"/>
        </w:rPr>
        <w:t>, families, and staff—can shine.</w:t>
      </w:r>
    </w:p>
    <w:sectPr w:rsidR="008F6EB8" w:rsidRPr="000D4EE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F7494" w14:textId="77777777" w:rsidR="00563F1B" w:rsidRDefault="00563F1B" w:rsidP="00563F1B">
      <w:pPr>
        <w:spacing w:after="0" w:line="240" w:lineRule="auto"/>
      </w:pPr>
      <w:r>
        <w:separator/>
      </w:r>
    </w:p>
  </w:endnote>
  <w:endnote w:type="continuationSeparator" w:id="0">
    <w:p w14:paraId="224A144D" w14:textId="77777777" w:rsidR="00563F1B" w:rsidRDefault="00563F1B" w:rsidP="00563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79839" w14:textId="77777777" w:rsidR="00563F1B" w:rsidRPr="00970865" w:rsidRDefault="00563F1B" w:rsidP="00563F1B">
    <w:pPr>
      <w:spacing w:after="0" w:line="240" w:lineRule="auto"/>
      <w:jc w:val="center"/>
      <w:rPr>
        <w:rFonts w:ascii="Bradley Hand ITC" w:eastAsia="Times New Roman" w:hAnsi="Bradley Hand ITC" w:cs="Arial"/>
        <w:b/>
        <w:bCs/>
        <w:color w:val="242424"/>
        <w:sz w:val="40"/>
        <w:szCs w:val="40"/>
        <w:lang w:eastAsia="en-GB"/>
      </w:rPr>
    </w:pPr>
    <w:r w:rsidRPr="00970865">
      <w:rPr>
        <w:rFonts w:ascii="Bradley Hand ITC" w:eastAsia="Times New Roman" w:hAnsi="Bradley Hand ITC" w:cs="Arial"/>
        <w:b/>
        <w:bCs/>
        <w:color w:val="FFD966" w:themeColor="accent4" w:themeTint="99"/>
        <w:sz w:val="40"/>
        <w:szCs w:val="40"/>
        <w:lang w:eastAsia="en-GB"/>
      </w:rPr>
      <w:t>EDUCATE</w:t>
    </w:r>
    <w:r w:rsidRPr="00970865">
      <w:rPr>
        <w:rFonts w:ascii="Bradley Hand ITC" w:eastAsia="Times New Roman" w:hAnsi="Bradley Hand ITC" w:cs="Arial"/>
        <w:b/>
        <w:bCs/>
        <w:color w:val="242424"/>
        <w:sz w:val="40"/>
        <w:szCs w:val="40"/>
        <w:lang w:eastAsia="en-GB"/>
      </w:rPr>
      <w:t xml:space="preserve"> </w:t>
    </w:r>
    <w:r>
      <w:rPr>
        <w:rFonts w:ascii="Bradley Hand ITC" w:eastAsia="Times New Roman" w:hAnsi="Bradley Hand ITC" w:cs="Arial"/>
        <w:b/>
        <w:bCs/>
        <w:color w:val="242424"/>
        <w:sz w:val="40"/>
        <w:szCs w:val="40"/>
        <w:lang w:eastAsia="en-GB"/>
      </w:rPr>
      <w:t xml:space="preserve">  </w:t>
    </w:r>
    <w:r w:rsidRPr="00970865">
      <w:rPr>
        <w:rFonts w:ascii="Bradley Hand ITC" w:eastAsia="Times New Roman" w:hAnsi="Bradley Hand ITC" w:cs="Arial"/>
        <w:b/>
        <w:bCs/>
        <w:color w:val="00B0F0"/>
        <w:sz w:val="40"/>
        <w:szCs w:val="40"/>
        <w:lang w:eastAsia="en-GB"/>
      </w:rPr>
      <w:t>EMPOWER</w:t>
    </w:r>
    <w:r w:rsidRPr="00970865">
      <w:rPr>
        <w:rFonts w:ascii="Bradley Hand ITC" w:eastAsia="Times New Roman" w:hAnsi="Bradley Hand ITC" w:cs="Arial"/>
        <w:b/>
        <w:bCs/>
        <w:color w:val="242424"/>
        <w:sz w:val="40"/>
        <w:szCs w:val="40"/>
        <w:lang w:eastAsia="en-GB"/>
      </w:rPr>
      <w:t xml:space="preserve"> </w:t>
    </w:r>
    <w:r>
      <w:rPr>
        <w:rFonts w:ascii="Bradley Hand ITC" w:eastAsia="Times New Roman" w:hAnsi="Bradley Hand ITC" w:cs="Arial"/>
        <w:b/>
        <w:bCs/>
        <w:color w:val="242424"/>
        <w:sz w:val="40"/>
        <w:szCs w:val="40"/>
        <w:lang w:eastAsia="en-GB"/>
      </w:rPr>
      <w:t xml:space="preserve">  </w:t>
    </w:r>
    <w:r w:rsidRPr="00970865">
      <w:rPr>
        <w:rFonts w:ascii="Bradley Hand ITC" w:eastAsia="Times New Roman" w:hAnsi="Bradley Hand ITC" w:cs="Arial"/>
        <w:b/>
        <w:bCs/>
        <w:color w:val="FF0000"/>
        <w:sz w:val="40"/>
        <w:szCs w:val="40"/>
        <w:lang w:eastAsia="en-GB"/>
      </w:rPr>
      <w:t>ENRICH</w:t>
    </w:r>
    <w:r w:rsidRPr="00970865">
      <w:rPr>
        <w:rFonts w:ascii="Bradley Hand ITC" w:eastAsia="Times New Roman" w:hAnsi="Bradley Hand ITC" w:cs="Arial"/>
        <w:b/>
        <w:bCs/>
        <w:color w:val="242424"/>
        <w:sz w:val="40"/>
        <w:szCs w:val="40"/>
        <w:lang w:eastAsia="en-GB"/>
      </w:rPr>
      <w:t xml:space="preserve"> </w:t>
    </w:r>
    <w:r>
      <w:rPr>
        <w:rFonts w:ascii="Bradley Hand ITC" w:eastAsia="Times New Roman" w:hAnsi="Bradley Hand ITC" w:cs="Arial"/>
        <w:b/>
        <w:bCs/>
        <w:color w:val="242424"/>
        <w:sz w:val="40"/>
        <w:szCs w:val="40"/>
        <w:lang w:eastAsia="en-GB"/>
      </w:rPr>
      <w:t xml:space="preserve">  </w:t>
    </w:r>
    <w:r w:rsidRPr="00970865">
      <w:rPr>
        <w:rFonts w:ascii="Bradley Hand ITC" w:eastAsia="Times New Roman" w:hAnsi="Bradley Hand ITC" w:cs="Arial"/>
        <w:b/>
        <w:bCs/>
        <w:color w:val="00B050"/>
        <w:sz w:val="40"/>
        <w:szCs w:val="40"/>
        <w:lang w:eastAsia="en-GB"/>
      </w:rPr>
      <w:t>ENJOY</w:t>
    </w:r>
  </w:p>
  <w:p w14:paraId="51C617DA" w14:textId="77777777" w:rsidR="00563F1B" w:rsidRDefault="00563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F7F0F" w14:textId="77777777" w:rsidR="00563F1B" w:rsidRDefault="00563F1B" w:rsidP="00563F1B">
      <w:pPr>
        <w:spacing w:after="0" w:line="240" w:lineRule="auto"/>
      </w:pPr>
      <w:r>
        <w:separator/>
      </w:r>
    </w:p>
  </w:footnote>
  <w:footnote w:type="continuationSeparator" w:id="0">
    <w:p w14:paraId="67E06259" w14:textId="77777777" w:rsidR="00563F1B" w:rsidRDefault="00563F1B" w:rsidP="00563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0BD52" w14:textId="40E12C68" w:rsidR="00146EE5" w:rsidRDefault="00146EE5" w:rsidP="00563F1B">
    <w:pPr>
      <w:spacing w:after="0" w:line="240" w:lineRule="auto"/>
      <w:jc w:val="center"/>
      <w:rPr>
        <w:rFonts w:eastAsia="Times New Roman" w:cstheme="minorHAnsi"/>
        <w:b/>
        <w:bCs/>
        <w:color w:val="2E74B5" w:themeColor="accent5" w:themeShade="BF"/>
        <w:sz w:val="36"/>
        <w:szCs w:val="36"/>
        <w:lang w:eastAsia="en-GB"/>
      </w:rPr>
    </w:pPr>
    <w:r>
      <w:rPr>
        <w:rFonts w:eastAsia="Times New Roman" w:cstheme="minorHAnsi"/>
        <w:noProof/>
        <w:sz w:val="24"/>
        <w:szCs w:val="24"/>
        <w:lang w:eastAsia="en-GB"/>
      </w:rPr>
      <w:drawing>
        <wp:anchor distT="0" distB="0" distL="114300" distR="114300" simplePos="0" relativeHeight="251657216" behindDoc="1" locked="0" layoutInCell="1" allowOverlap="1" wp14:anchorId="5565E171" wp14:editId="197176A3">
          <wp:simplePos x="0" y="0"/>
          <wp:positionH relativeFrom="margin">
            <wp:align>left</wp:align>
          </wp:positionH>
          <wp:positionV relativeFrom="paragraph">
            <wp:posOffset>8456</wp:posOffset>
          </wp:positionV>
          <wp:extent cx="819150" cy="819150"/>
          <wp:effectExtent l="0" t="0" r="0" b="0"/>
          <wp:wrapTight wrapText="bothSides">
            <wp:wrapPolygon edited="0">
              <wp:start x="11553" y="0"/>
              <wp:lineTo x="6530" y="502"/>
              <wp:lineTo x="0" y="5023"/>
              <wp:lineTo x="0" y="8540"/>
              <wp:lineTo x="3516" y="16577"/>
              <wp:lineTo x="3516" y="18084"/>
              <wp:lineTo x="8037" y="20595"/>
              <wp:lineTo x="10549" y="21098"/>
              <wp:lineTo x="12558" y="21098"/>
              <wp:lineTo x="14065" y="20595"/>
              <wp:lineTo x="17581" y="17581"/>
              <wp:lineTo x="17581" y="16577"/>
              <wp:lineTo x="21098" y="8540"/>
              <wp:lineTo x="21098" y="6530"/>
              <wp:lineTo x="17079" y="2009"/>
              <wp:lineTo x="13563" y="0"/>
              <wp:lineTo x="11553"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noProof/>
        <w:sz w:val="24"/>
        <w:szCs w:val="24"/>
        <w:lang w:eastAsia="en-GB"/>
      </w:rPr>
      <w:drawing>
        <wp:anchor distT="0" distB="0" distL="114300" distR="114300" simplePos="0" relativeHeight="251665408" behindDoc="1" locked="0" layoutInCell="1" allowOverlap="1" wp14:anchorId="21CA96BD" wp14:editId="5436F2D8">
          <wp:simplePos x="0" y="0"/>
          <wp:positionH relativeFrom="margin">
            <wp:posOffset>5065830</wp:posOffset>
          </wp:positionH>
          <wp:positionV relativeFrom="paragraph">
            <wp:posOffset>9792</wp:posOffset>
          </wp:positionV>
          <wp:extent cx="819150" cy="819150"/>
          <wp:effectExtent l="0" t="0" r="0" b="0"/>
          <wp:wrapTight wrapText="bothSides">
            <wp:wrapPolygon edited="0">
              <wp:start x="11553" y="0"/>
              <wp:lineTo x="6530" y="502"/>
              <wp:lineTo x="0" y="5023"/>
              <wp:lineTo x="0" y="8540"/>
              <wp:lineTo x="3516" y="16577"/>
              <wp:lineTo x="3516" y="18084"/>
              <wp:lineTo x="8037" y="20595"/>
              <wp:lineTo x="10549" y="21098"/>
              <wp:lineTo x="12558" y="21098"/>
              <wp:lineTo x="14065" y="20595"/>
              <wp:lineTo x="17581" y="17581"/>
              <wp:lineTo x="17581" y="16577"/>
              <wp:lineTo x="21098" y="8540"/>
              <wp:lineTo x="21098" y="6530"/>
              <wp:lineTo x="17079" y="2009"/>
              <wp:lineTo x="13563" y="0"/>
              <wp:lineTo x="1155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p>
  <w:p w14:paraId="46647A9C" w14:textId="3DDC20C0" w:rsidR="00563F1B" w:rsidRPr="00B45D58" w:rsidRDefault="00563F1B" w:rsidP="00563F1B">
    <w:pPr>
      <w:spacing w:after="0" w:line="240" w:lineRule="auto"/>
      <w:jc w:val="center"/>
      <w:rPr>
        <w:rFonts w:ascii="Century Gothic" w:eastAsia="Times New Roman" w:hAnsi="Century Gothic" w:cstheme="minorHAnsi"/>
        <w:b/>
        <w:bCs/>
        <w:color w:val="2E74B5" w:themeColor="accent5" w:themeShade="BF"/>
        <w:sz w:val="36"/>
        <w:szCs w:val="36"/>
        <w:lang w:eastAsia="en-GB"/>
      </w:rPr>
    </w:pPr>
    <w:r w:rsidRPr="00B45D58">
      <w:rPr>
        <w:rFonts w:ascii="Century Gothic" w:eastAsia="Times New Roman" w:hAnsi="Century Gothic" w:cstheme="minorHAnsi"/>
        <w:b/>
        <w:bCs/>
        <w:color w:val="2E74B5" w:themeColor="accent5" w:themeShade="BF"/>
        <w:sz w:val="36"/>
        <w:szCs w:val="36"/>
        <w:lang w:eastAsia="en-GB"/>
      </w:rPr>
      <w:t>Living British Values Every Day</w:t>
    </w:r>
  </w:p>
  <w:p w14:paraId="5EFECD2B" w14:textId="4C0B9AF8" w:rsidR="00563F1B" w:rsidRDefault="00563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5305E"/>
    <w:multiLevelType w:val="multilevel"/>
    <w:tmpl w:val="A5BCC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1E4"/>
    <w:rsid w:val="00021E68"/>
    <w:rsid w:val="000D4EE7"/>
    <w:rsid w:val="00146EE5"/>
    <w:rsid w:val="00170093"/>
    <w:rsid w:val="00187A91"/>
    <w:rsid w:val="002F2596"/>
    <w:rsid w:val="00344D60"/>
    <w:rsid w:val="00402352"/>
    <w:rsid w:val="00563F1B"/>
    <w:rsid w:val="005C68A8"/>
    <w:rsid w:val="006F0EF7"/>
    <w:rsid w:val="006F14F3"/>
    <w:rsid w:val="006F4925"/>
    <w:rsid w:val="007A05BE"/>
    <w:rsid w:val="0080112D"/>
    <w:rsid w:val="00814B52"/>
    <w:rsid w:val="008321F9"/>
    <w:rsid w:val="008E0A22"/>
    <w:rsid w:val="008F6EB8"/>
    <w:rsid w:val="009301E4"/>
    <w:rsid w:val="00961FED"/>
    <w:rsid w:val="00970865"/>
    <w:rsid w:val="0099656C"/>
    <w:rsid w:val="00AD7C03"/>
    <w:rsid w:val="00B3486D"/>
    <w:rsid w:val="00B45D58"/>
    <w:rsid w:val="00B75A38"/>
    <w:rsid w:val="00D23680"/>
    <w:rsid w:val="00DA47BB"/>
    <w:rsid w:val="00E10085"/>
    <w:rsid w:val="00F90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751B"/>
  <w15:chartTrackingRefBased/>
  <w15:docId w15:val="{9A30BD77-86A8-4CEC-8BF1-BBDC3C7B5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F1B"/>
  </w:style>
  <w:style w:type="paragraph" w:styleId="Footer">
    <w:name w:val="footer"/>
    <w:basedOn w:val="Normal"/>
    <w:link w:val="FooterChar"/>
    <w:uiPriority w:val="99"/>
    <w:unhideWhenUsed/>
    <w:rsid w:val="00563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66931">
      <w:bodyDiv w:val="1"/>
      <w:marLeft w:val="0"/>
      <w:marRight w:val="0"/>
      <w:marTop w:val="0"/>
      <w:marBottom w:val="0"/>
      <w:divBdr>
        <w:top w:val="none" w:sz="0" w:space="0" w:color="auto"/>
        <w:left w:val="none" w:sz="0" w:space="0" w:color="auto"/>
        <w:bottom w:val="none" w:sz="0" w:space="0" w:color="auto"/>
        <w:right w:val="none" w:sz="0" w:space="0" w:color="auto"/>
      </w:divBdr>
    </w:div>
    <w:div w:id="147790441">
      <w:bodyDiv w:val="1"/>
      <w:marLeft w:val="0"/>
      <w:marRight w:val="0"/>
      <w:marTop w:val="0"/>
      <w:marBottom w:val="0"/>
      <w:divBdr>
        <w:top w:val="none" w:sz="0" w:space="0" w:color="auto"/>
        <w:left w:val="none" w:sz="0" w:space="0" w:color="auto"/>
        <w:bottom w:val="none" w:sz="0" w:space="0" w:color="auto"/>
        <w:right w:val="none" w:sz="0" w:space="0" w:color="auto"/>
      </w:divBdr>
    </w:div>
    <w:div w:id="1329098841">
      <w:bodyDiv w:val="1"/>
      <w:marLeft w:val="0"/>
      <w:marRight w:val="0"/>
      <w:marTop w:val="0"/>
      <w:marBottom w:val="0"/>
      <w:divBdr>
        <w:top w:val="none" w:sz="0" w:space="0" w:color="auto"/>
        <w:left w:val="none" w:sz="0" w:space="0" w:color="auto"/>
        <w:bottom w:val="none" w:sz="0" w:space="0" w:color="auto"/>
        <w:right w:val="none" w:sz="0" w:space="0" w:color="auto"/>
      </w:divBdr>
    </w:div>
    <w:div w:id="214481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3DC45222B7274486B3ECFC8DB15412" ma:contentTypeVersion="14" ma:contentTypeDescription="Create a new document." ma:contentTypeScope="" ma:versionID="a214f427918a2a7ac5c4e80aa06ad0da">
  <xsd:schema xmlns:xsd="http://www.w3.org/2001/XMLSchema" xmlns:xs="http://www.w3.org/2001/XMLSchema" xmlns:p="http://schemas.microsoft.com/office/2006/metadata/properties" xmlns:ns2="e2e37477-da88-456b-bb53-47d780d1b7f1" xmlns:ns3="4b1dc3ab-654f-405d-b4e8-e43f1097ff9e" targetNamespace="http://schemas.microsoft.com/office/2006/metadata/properties" ma:root="true" ma:fieldsID="afb23b3ce5217cfab33c415c792622fe" ns2:_="" ns3:_="">
    <xsd:import namespace="e2e37477-da88-456b-bb53-47d780d1b7f1"/>
    <xsd:import namespace="4b1dc3ab-654f-405d-b4e8-e43f1097ff9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37477-da88-456b-bb53-47d780d1b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cbf5b67-6411-4cf9-ac6a-f44f303de4ec"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1dc3ab-654f-405d-b4e8-e43f1097ff9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122173d-c2cb-47ac-8b96-8c40e95f1089}" ma:internalName="TaxCatchAll" ma:showField="CatchAllData" ma:web="4b1dc3ab-654f-405d-b4e8-e43f1097ff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b1dc3ab-654f-405d-b4e8-e43f1097ff9e" xsi:nil="true"/>
    <lcf76f155ced4ddcb4097134ff3c332f xmlns="e2e37477-da88-456b-bb53-47d780d1b7f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E5A5B-4B30-4BE4-A11A-5DA77CB07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37477-da88-456b-bb53-47d780d1b7f1"/>
    <ds:schemaRef ds:uri="4b1dc3ab-654f-405d-b4e8-e43f1097f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837353-8265-467F-A8A8-6C425F165C4C}">
  <ds:schemaRefs>
    <ds:schemaRef ds:uri="http://schemas.microsoft.com/office/2006/documentManagement/types"/>
    <ds:schemaRef ds:uri="http://schemas.microsoft.com/office/infopath/2007/PartnerControls"/>
    <ds:schemaRef ds:uri="http://schemas.microsoft.com/office/2006/metadata/properties"/>
    <ds:schemaRef ds:uri="e2e37477-da88-456b-bb53-47d780d1b7f1"/>
    <ds:schemaRef ds:uri="4b1dc3ab-654f-405d-b4e8-e43f1097ff9e"/>
    <ds:schemaRef ds:uri="http://www.w3.org/XML/1998/namespace"/>
    <ds:schemaRef ds:uri="http://schemas.openxmlformats.org/package/2006/metadata/core-properties"/>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04414F-DB14-4F25-A3A6-6D772CC318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Greig</dc:creator>
  <cp:keywords/>
  <dc:description/>
  <cp:lastModifiedBy>Caroline Place</cp:lastModifiedBy>
  <cp:revision>2</cp:revision>
  <dcterms:created xsi:type="dcterms:W3CDTF">2025-05-16T12:53:00Z</dcterms:created>
  <dcterms:modified xsi:type="dcterms:W3CDTF">2025-05-16T12:53:00Z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0x0101008E3DC45222B7274486B3ECFC8DB15412</vt:lpwstr>
  </property>
</Properties>
</file>